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  <w:r w:rsidR="00AD752F">
        <w:rPr>
          <w:b/>
          <w:bCs/>
          <w:sz w:val="28"/>
          <w:szCs w:val="28"/>
        </w:rPr>
        <w:t xml:space="preserve"> (ПРОЕКТ)</w:t>
      </w:r>
    </w:p>
    <w:p w:rsidR="00562E29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Pr="00B66AC5" w:rsidRDefault="00562E29" w:rsidP="00562E29">
      <w:pPr>
        <w:widowControl w:val="0"/>
        <w:tabs>
          <w:tab w:val="left" w:pos="709"/>
          <w:tab w:val="left" w:pos="1418"/>
          <w:tab w:val="left" w:pos="2127"/>
          <w:tab w:val="left" w:pos="8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D752F">
        <w:rPr>
          <w:sz w:val="28"/>
          <w:szCs w:val="28"/>
        </w:rPr>
        <w:t xml:space="preserve">                         </w:t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52F">
        <w:rPr>
          <w:sz w:val="28"/>
          <w:szCs w:val="28"/>
        </w:rPr>
        <w:t>№</w:t>
      </w:r>
    </w:p>
    <w:p w:rsidR="00D873C2" w:rsidRPr="00B66AC5" w:rsidRDefault="00AD752F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3C2"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70FA" w:rsidRDefault="00907B33" w:rsidP="00C279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519587904" w:edGrp="everyone"/>
      <w:r w:rsidRPr="00907B33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3B5691" w:rsidRPr="00907B33">
        <w:rPr>
          <w:b/>
          <w:sz w:val="28"/>
          <w:szCs w:val="28"/>
        </w:rPr>
        <w:t>на 202</w:t>
      </w:r>
      <w:r w:rsidR="003B5691">
        <w:rPr>
          <w:b/>
          <w:sz w:val="28"/>
          <w:szCs w:val="28"/>
        </w:rPr>
        <w:t>4</w:t>
      </w:r>
      <w:r w:rsidR="003B5691" w:rsidRPr="00907B33">
        <w:rPr>
          <w:b/>
          <w:sz w:val="28"/>
          <w:szCs w:val="28"/>
        </w:rPr>
        <w:t xml:space="preserve"> год </w:t>
      </w:r>
      <w:r w:rsidRPr="00907B33">
        <w:rPr>
          <w:b/>
          <w:sz w:val="28"/>
          <w:szCs w:val="28"/>
        </w:rPr>
        <w:t>в сфере муниципального контроля за исполнением единой теплоснабжа</w:t>
      </w:r>
      <w:r w:rsidR="00C279A8">
        <w:rPr>
          <w:b/>
          <w:sz w:val="28"/>
          <w:szCs w:val="28"/>
        </w:rPr>
        <w:t xml:space="preserve">ющей организацией обязательств </w:t>
      </w:r>
      <w:r w:rsidRPr="00907B33">
        <w:rPr>
          <w:b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C279A8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B649B1">
        <w:rPr>
          <w:b/>
          <w:sz w:val="28"/>
          <w:szCs w:val="28"/>
        </w:rPr>
        <w:t xml:space="preserve">области </w:t>
      </w:r>
    </w:p>
    <w:permEnd w:id="1519587904"/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9A8" w:rsidRPr="00EF5964" w:rsidRDefault="00907B33" w:rsidP="003B5691">
      <w:pPr>
        <w:ind w:left="142" w:firstLine="567"/>
        <w:jc w:val="both"/>
        <w:rPr>
          <w:sz w:val="28"/>
          <w:szCs w:val="28"/>
          <w:lang w:bidi="ru-RU"/>
        </w:rPr>
      </w:pPr>
      <w:permStart w:id="1499560680" w:edGrp="everyone"/>
      <w:r w:rsidRPr="00EF5964">
        <w:rPr>
          <w:sz w:val="28"/>
          <w:szCs w:val="28"/>
          <w:lang w:bidi="ru-RU"/>
        </w:rPr>
        <w:t>В соответствии со статьей 23.14 Федерального закона от 27.07.2010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№ 190-ФЗ «О теплоснабжении», Федеральным законом от 06.10.2003 № 131-ФЗ «Об общих принципах организации местного самоуправления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Российской Федерации», Федеральным законом от 31.07.2020 № 248-ФЗ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и утверждения контрольными (надзорными) органами программы профилактики рисков причинения вреда (ущерба)</w:t>
      </w:r>
      <w:r w:rsidR="00EF5964">
        <w:rPr>
          <w:sz w:val="28"/>
          <w:szCs w:val="28"/>
          <w:lang w:bidi="ru-RU"/>
        </w:rPr>
        <w:t xml:space="preserve"> охраняемым законом ценностям», р</w:t>
      </w:r>
      <w:r w:rsidR="00C279A8" w:rsidRPr="00EF5964">
        <w:rPr>
          <w:sz w:val="28"/>
          <w:szCs w:val="28"/>
          <w:lang w:bidi="ru-RU"/>
        </w:rPr>
        <w:t>уководствуясь ст.23,46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области:</w:t>
      </w:r>
    </w:p>
    <w:p w:rsidR="00907B33" w:rsidRPr="00907B33" w:rsidRDefault="00907B33" w:rsidP="003B5691">
      <w:pPr>
        <w:pStyle w:val="af9"/>
        <w:tabs>
          <w:tab w:val="num" w:pos="0"/>
        </w:tabs>
        <w:ind w:left="1069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П О С Т А Н О В Л Я Е Т:</w:t>
      </w:r>
    </w:p>
    <w:p w:rsidR="00153758" w:rsidRPr="00C279A8" w:rsidRDefault="00907B33" w:rsidP="003B5691">
      <w:pPr>
        <w:pStyle w:val="af9"/>
        <w:numPr>
          <w:ilvl w:val="0"/>
          <w:numId w:val="25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F53DD" w:rsidRPr="00C279A8">
        <w:rPr>
          <w:sz w:val="28"/>
          <w:szCs w:val="28"/>
          <w:lang w:bidi="ru-RU"/>
        </w:rPr>
        <w:t>на территории Тайтурского городского поселения Усольского муниципального района Иркутской области</w:t>
      </w:r>
      <w:r w:rsidR="00153758" w:rsidRPr="00C279A8">
        <w:rPr>
          <w:sz w:val="28"/>
          <w:szCs w:val="28"/>
          <w:lang w:bidi="ru-RU"/>
        </w:rPr>
        <w:t xml:space="preserve"> (прилагается).</w:t>
      </w:r>
    </w:p>
    <w:p w:rsidR="00153758" w:rsidRPr="00C279A8" w:rsidRDefault="00153758" w:rsidP="003B5691">
      <w:pPr>
        <w:pStyle w:val="af9"/>
        <w:numPr>
          <w:ilvl w:val="0"/>
          <w:numId w:val="24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Опубликовать настоящее постановление в газете «</w:t>
      </w:r>
      <w:r w:rsidR="00C279A8">
        <w:rPr>
          <w:sz w:val="28"/>
          <w:szCs w:val="28"/>
          <w:lang w:bidi="ru-RU"/>
        </w:rPr>
        <w:t>Новости</w:t>
      </w:r>
      <w:r w:rsidRPr="00C279A8">
        <w:rPr>
          <w:sz w:val="28"/>
          <w:szCs w:val="28"/>
          <w:lang w:bidi="ru-RU"/>
        </w:rPr>
        <w:t>» и разместить на официальном сайте http://taiturka.irkmo.ru/ Тайтурского муниципального образования в информационно-телекоммуникационной сети «Интернет».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lastRenderedPageBreak/>
        <w:t>Настоящее постановление вступает в силу после дня официального опубликования.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Контроль по исполнению настоящего постановления оставляю за собой.</w:t>
      </w:r>
    </w:p>
    <w:p w:rsidR="00153758" w:rsidRPr="00153758" w:rsidRDefault="00153758" w:rsidP="00C279A8">
      <w:pPr>
        <w:tabs>
          <w:tab w:val="num" w:pos="0"/>
        </w:tabs>
        <w:ind w:left="993" w:hanging="284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864553" w:rsidRPr="00153758" w:rsidRDefault="003B5691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>. г</w:t>
      </w:r>
      <w:r w:rsidR="00AD752F">
        <w:rPr>
          <w:sz w:val="28"/>
          <w:szCs w:val="28"/>
          <w:lang w:bidi="ru-RU"/>
        </w:rPr>
        <w:t>лав</w:t>
      </w:r>
      <w:r>
        <w:rPr>
          <w:sz w:val="28"/>
          <w:szCs w:val="28"/>
          <w:lang w:bidi="ru-RU"/>
        </w:rPr>
        <w:t>ы</w:t>
      </w:r>
      <w:r w:rsidR="00864553" w:rsidRPr="00153758">
        <w:rPr>
          <w:sz w:val="28"/>
          <w:szCs w:val="28"/>
          <w:lang w:bidi="ru-RU"/>
        </w:rPr>
        <w:t xml:space="preserve"> Тайтурского городского поселения </w:t>
      </w:r>
    </w:p>
    <w:p w:rsidR="00864553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</w:t>
      </w:r>
      <w:r w:rsidR="003B5691">
        <w:rPr>
          <w:sz w:val="28"/>
          <w:szCs w:val="28"/>
          <w:lang w:bidi="ru-RU"/>
        </w:rPr>
        <w:t xml:space="preserve">                 </w:t>
      </w:r>
      <w:r w:rsidR="00AD752F">
        <w:rPr>
          <w:sz w:val="28"/>
          <w:szCs w:val="28"/>
          <w:lang w:bidi="ru-RU"/>
        </w:rPr>
        <w:t xml:space="preserve">      </w:t>
      </w:r>
      <w:r w:rsidRPr="00153758">
        <w:rPr>
          <w:sz w:val="28"/>
          <w:szCs w:val="28"/>
          <w:lang w:bidi="ru-RU"/>
        </w:rPr>
        <w:t xml:space="preserve"> </w:t>
      </w:r>
      <w:r w:rsidR="003B5691">
        <w:rPr>
          <w:sz w:val="28"/>
          <w:szCs w:val="28"/>
          <w:lang w:bidi="ru-RU"/>
        </w:rPr>
        <w:t>И.И. Платонова</w:t>
      </w:r>
    </w:p>
    <w:permEnd w:id="1499560680"/>
    <w:p w:rsidR="00D7404F" w:rsidRDefault="00D7404F" w:rsidP="00153758">
      <w:pPr>
        <w:tabs>
          <w:tab w:val="num" w:pos="0"/>
        </w:tabs>
        <w:ind w:hanging="142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758" w:rsidRDefault="0015375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691" w:rsidRDefault="003B569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lastRenderedPageBreak/>
        <w:t xml:space="preserve">Подготовил: </w:t>
      </w:r>
      <w:permStart w:id="1826953830" w:edGrp="everyone"/>
      <w:r w:rsidRPr="00CF2D73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r w:rsidR="00AD752F" w:rsidRPr="00CF2D73">
        <w:rPr>
          <w:color w:val="000000"/>
          <w:sz w:val="28"/>
          <w:szCs w:val="28"/>
        </w:rPr>
        <w:t>Тайтурского муниципального</w:t>
      </w:r>
      <w:r w:rsidRPr="00CF2D73">
        <w:rPr>
          <w:color w:val="000000"/>
          <w:sz w:val="28"/>
          <w:szCs w:val="28"/>
        </w:rPr>
        <w:t xml:space="preserve"> образования </w:t>
      </w:r>
      <w:permEnd w:id="1826953830"/>
      <w:r w:rsidRPr="00CF2D73">
        <w:rPr>
          <w:color w:val="000000"/>
          <w:sz w:val="28"/>
          <w:szCs w:val="28"/>
        </w:rPr>
        <w:t>____</w:t>
      </w:r>
      <w:r w:rsidR="003B5691">
        <w:rPr>
          <w:color w:val="000000"/>
          <w:sz w:val="28"/>
          <w:szCs w:val="28"/>
        </w:rPr>
        <w:t>______ Т.В. Баранова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>«__</w:t>
      </w:r>
      <w:proofErr w:type="gramStart"/>
      <w:r w:rsidRPr="00CF2D73">
        <w:rPr>
          <w:color w:val="000000"/>
          <w:sz w:val="28"/>
          <w:szCs w:val="28"/>
        </w:rPr>
        <w:t>_»_</w:t>
      </w:r>
      <w:proofErr w:type="gramEnd"/>
      <w:r w:rsidRPr="00CF2D73">
        <w:rPr>
          <w:color w:val="000000"/>
          <w:sz w:val="28"/>
          <w:szCs w:val="28"/>
        </w:rPr>
        <w:t>________202</w:t>
      </w:r>
      <w:r w:rsidR="003B5691">
        <w:rPr>
          <w:color w:val="000000"/>
          <w:sz w:val="28"/>
          <w:szCs w:val="28"/>
        </w:rPr>
        <w:t>3</w:t>
      </w:r>
      <w:r w:rsidR="005331C3">
        <w:rPr>
          <w:color w:val="000000"/>
          <w:sz w:val="28"/>
          <w:szCs w:val="28"/>
        </w:rPr>
        <w:t>г.</w:t>
      </w:r>
      <w:r w:rsidRPr="00CF2D73">
        <w:rPr>
          <w:color w:val="000000"/>
          <w:sz w:val="28"/>
          <w:szCs w:val="28"/>
        </w:rPr>
        <w:t xml:space="preserve"> 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>«___»_________202</w:t>
      </w:r>
      <w:r w:rsidR="003B5691">
        <w:rPr>
          <w:color w:val="000000"/>
          <w:sz w:val="28"/>
          <w:szCs w:val="28"/>
        </w:rPr>
        <w:t>3</w:t>
      </w:r>
      <w:r w:rsidRPr="00CF2D73">
        <w:rPr>
          <w:color w:val="000000"/>
          <w:sz w:val="28"/>
          <w:szCs w:val="28"/>
        </w:rPr>
        <w:t xml:space="preserve"> г.</w:t>
      </w:r>
    </w:p>
    <w:p w:rsidR="00CF2D73" w:rsidRPr="00CF2D73" w:rsidRDefault="00CF2D73" w:rsidP="00CF2D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2D73" w:rsidRDefault="00CF2D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703"/>
        <w:gridCol w:w="4651"/>
      </w:tblGrid>
      <w:tr w:rsidR="004A69C8" w:rsidRPr="00153758" w:rsidTr="003F665E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lastRenderedPageBreak/>
              <w:t xml:space="preserve">                                         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УТВЕРЖДЕНО</w:t>
            </w:r>
          </w:p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Постановлением администрации Тайтурского городского поселения Усольского муниципального района Иркутской обл</w:t>
            </w:r>
            <w:r>
              <w:rPr>
                <w:sz w:val="28"/>
                <w:szCs w:val="28"/>
              </w:rPr>
              <w:t xml:space="preserve">асти </w:t>
            </w: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</w:rPr>
        <w:t>ПРОГРАММА</w:t>
      </w:r>
    </w:p>
    <w:p w:rsidR="004A69C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758">
        <w:rPr>
          <w:b/>
          <w:bCs/>
          <w:sz w:val="28"/>
          <w:szCs w:val="28"/>
        </w:rPr>
        <w:t xml:space="preserve">профилактики </w:t>
      </w:r>
      <w:r w:rsidRPr="00153758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9C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153758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153758">
        <w:rPr>
          <w:bCs/>
          <w:sz w:val="28"/>
          <w:szCs w:val="28"/>
        </w:rPr>
        <w:t xml:space="preserve"> год</w:t>
      </w:r>
      <w:r w:rsidRPr="00153758">
        <w:rPr>
          <w:sz w:val="28"/>
          <w:szCs w:val="28"/>
        </w:rPr>
        <w:t xml:space="preserve">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>. 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53758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53758">
        <w:rPr>
          <w:sz w:val="28"/>
          <w:szCs w:val="28"/>
        </w:rPr>
        <w:t>. 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«Об утверждении Положения о муниципальном контроле за исполнением единой теплоснабжающей</w:t>
      </w:r>
      <w:r>
        <w:rPr>
          <w:sz w:val="28"/>
          <w:szCs w:val="28"/>
        </w:rPr>
        <w:t xml:space="preserve"> </w:t>
      </w:r>
      <w:r w:rsidRPr="00153758">
        <w:rPr>
          <w:sz w:val="28"/>
          <w:szCs w:val="28"/>
        </w:rPr>
        <w:t xml:space="preserve">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» и </w:t>
      </w:r>
      <w:r w:rsidRPr="00153758">
        <w:rPr>
          <w:sz w:val="28"/>
          <w:szCs w:val="28"/>
        </w:rPr>
        <w:lastRenderedPageBreak/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</w:t>
      </w:r>
      <w:r>
        <w:rPr>
          <w:sz w:val="28"/>
          <w:szCs w:val="28"/>
        </w:rPr>
        <w:t xml:space="preserve">снабжения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Объектами муниципального контроля являются объекты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69C8">
        <w:rPr>
          <w:b/>
          <w:bCs/>
          <w:sz w:val="28"/>
          <w:szCs w:val="28"/>
        </w:rPr>
        <w:t>2</w:t>
      </w:r>
      <w:r w:rsidRPr="00153758"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53758">
        <w:rPr>
          <w:bCs/>
          <w:sz w:val="28"/>
          <w:szCs w:val="28"/>
        </w:rPr>
        <w:t>1. Целями реализации Программы являются: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375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53758">
        <w:rPr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53758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3758">
        <w:rPr>
          <w:sz w:val="28"/>
          <w:szCs w:val="28"/>
        </w:rPr>
        <w:t xml:space="preserve">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758">
        <w:rPr>
          <w:sz w:val="28"/>
          <w:szCs w:val="28"/>
        </w:rPr>
        <w:t xml:space="preserve"> информирование;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758">
        <w:rPr>
          <w:sz w:val="28"/>
          <w:szCs w:val="28"/>
        </w:rPr>
        <w:t xml:space="preserve"> консультирование;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3758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53758">
        <w:rPr>
          <w:b/>
          <w:bCs/>
          <w:sz w:val="28"/>
          <w:szCs w:val="28"/>
        </w:rPr>
        <w:t>. Показатели результативности и эффективности Программы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153758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53758">
        <w:rPr>
          <w:iCs/>
          <w:sz w:val="28"/>
          <w:szCs w:val="28"/>
        </w:rPr>
        <w:t xml:space="preserve">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>
        <w:rPr>
          <w:iCs/>
          <w:sz w:val="28"/>
          <w:szCs w:val="28"/>
        </w:rPr>
        <w:t xml:space="preserve"> </w:t>
      </w:r>
      <w:r w:rsidRPr="00153758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53758">
        <w:rPr>
          <w:iCs/>
          <w:sz w:val="28"/>
          <w:szCs w:val="28"/>
        </w:rPr>
        <w:t xml:space="preserve"> доля профилактических мероприятий в</w:t>
      </w:r>
      <w:r>
        <w:rPr>
          <w:iCs/>
          <w:sz w:val="28"/>
          <w:szCs w:val="28"/>
        </w:rPr>
        <w:t xml:space="preserve"> объеме контрольных мероприятий. </w:t>
      </w:r>
      <w:r w:rsidRPr="00153758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3758"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 в состав доклада о виде муниципального контроля в соответствии со ст. 30 Федерального закона от 31.07.2020 № 248-ФЗ «О государственном контроле (надзоре) и муниципальном контроле в Российской Федерации». </w:t>
      </w:r>
    </w:p>
    <w:tbl>
      <w:tblPr>
        <w:tblStyle w:val="a4"/>
        <w:tblW w:w="9570" w:type="dxa"/>
        <w:tblInd w:w="284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4A69C8" w:rsidRPr="00153758" w:rsidTr="003F66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lastRenderedPageBreak/>
              <w:t xml:space="preserve">Приложение 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>к Программе профилактики</w:t>
            </w:r>
            <w:r w:rsidRPr="004A69C8">
              <w:rPr>
                <w:bCs/>
                <w:lang w:bidi="ru-RU"/>
              </w:rPr>
              <w:t xml:space="preserve"> рисков</w:t>
            </w:r>
            <w:r w:rsidRPr="004A69C8">
              <w:rPr>
                <w:b/>
                <w:bCs/>
                <w:lang w:bidi="ru-RU"/>
              </w:rPr>
              <w:t xml:space="preserve"> </w:t>
            </w:r>
            <w:r w:rsidRPr="004A69C8">
              <w:rPr>
                <w:lang w:bidi="ru-RU"/>
              </w:rPr>
              <w:t xml:space="preserve"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 </w:t>
            </w: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Перечень профилактических мероприятий </w:t>
      </w:r>
    </w:p>
    <w:tbl>
      <w:tblPr>
        <w:tblStyle w:val="a4"/>
        <w:tblpPr w:leftFromText="180" w:rightFromText="180" w:vertAnchor="text" w:horzAnchor="margin" w:tblpXSpec="center" w:tblpY="494"/>
        <w:tblW w:w="9641" w:type="dxa"/>
        <w:tblLayout w:type="fixed"/>
        <w:tblLook w:val="04A0" w:firstRow="1" w:lastRow="0" w:firstColumn="1" w:lastColumn="0" w:noHBand="0" w:noVBand="1"/>
      </w:tblPr>
      <w:tblGrid>
        <w:gridCol w:w="704"/>
        <w:gridCol w:w="3828"/>
        <w:gridCol w:w="2410"/>
        <w:gridCol w:w="2692"/>
        <w:gridCol w:w="7"/>
      </w:tblGrid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№ п/п </w:t>
            </w:r>
          </w:p>
        </w:tc>
        <w:tc>
          <w:tcPr>
            <w:tcW w:w="3828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Наименование формы мероприятия 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Срок исполнения </w:t>
            </w: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Ответственный </w:t>
            </w:r>
          </w:p>
        </w:tc>
      </w:tr>
      <w:tr w:rsidR="004A69C8" w:rsidRPr="004A69C8" w:rsidTr="004A69C8">
        <w:tc>
          <w:tcPr>
            <w:tcW w:w="9641" w:type="dxa"/>
            <w:gridSpan w:val="5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1. Информирование</w:t>
            </w:r>
          </w:p>
        </w:tc>
      </w:tr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1.1.</w:t>
            </w:r>
          </w:p>
          <w:p w:rsidR="004A69C8" w:rsidRPr="004A69C8" w:rsidRDefault="004A69C8" w:rsidP="003F665E">
            <w:pPr>
              <w:widowControl w:val="0"/>
              <w:jc w:val="both"/>
            </w:pPr>
          </w:p>
          <w:p w:rsidR="004A69C8" w:rsidRPr="004A69C8" w:rsidRDefault="004A69C8" w:rsidP="003F665E">
            <w:pPr>
              <w:widowControl w:val="0"/>
              <w:jc w:val="both"/>
            </w:pPr>
          </w:p>
          <w:p w:rsidR="004A69C8" w:rsidRPr="004A69C8" w:rsidRDefault="004A69C8" w:rsidP="003F665E">
            <w:pPr>
              <w:widowControl w:val="0"/>
              <w:jc w:val="both"/>
            </w:pPr>
          </w:p>
        </w:tc>
        <w:tc>
          <w:tcPr>
            <w:tcW w:w="3828" w:type="dxa"/>
          </w:tcPr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>Осуществление информирования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телекоммуникационной сети «Интернет» и в иных формах.</w:t>
            </w:r>
          </w:p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 xml:space="preserve">Размещение и поддержание в актуальном состоянии на официальном сайте Администрации в информационно-телекоммуникационной сети «Интернет» и </w:t>
            </w:r>
          </w:p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rPr>
                <w:lang w:bidi="ru-RU"/>
              </w:rPr>
              <w:t>В течение года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rPr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69C8" w:rsidRPr="004A69C8" w:rsidTr="004A69C8">
        <w:tc>
          <w:tcPr>
            <w:tcW w:w="9641" w:type="dxa"/>
            <w:gridSpan w:val="5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3. Консультирование</w:t>
            </w:r>
          </w:p>
        </w:tc>
      </w:tr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3.1.</w:t>
            </w:r>
          </w:p>
        </w:tc>
        <w:tc>
          <w:tcPr>
            <w:tcW w:w="3828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Консультирование контролируемых лиц и их представителей по вопросам, связанным с организацией и осуществлением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</w:t>
            </w:r>
          </w:p>
          <w:p w:rsidR="004A69C8" w:rsidRPr="004A69C8" w:rsidRDefault="004A69C8" w:rsidP="003F665E">
            <w:pPr>
              <w:jc w:val="both"/>
            </w:pPr>
            <w:r w:rsidRPr="004A69C8">
              <w:lastRenderedPageBreak/>
              <w:t>1) организация и осуществление муниципального контроля;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 xml:space="preserve">2) 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4A69C8">
              <w:rPr>
                <w:lang w:bidi="ru-RU"/>
              </w:rPr>
              <w:t>Тайтурского</w:t>
            </w:r>
            <w:r w:rsidRPr="004A69C8">
              <w:t xml:space="preserve"> городского поселения Усольского муниципального района Иркутской области</w:t>
            </w:r>
          </w:p>
          <w:p w:rsidR="004A69C8" w:rsidRPr="004A69C8" w:rsidRDefault="004A69C8" w:rsidP="003F665E">
            <w:pPr>
              <w:jc w:val="both"/>
            </w:pPr>
            <w:r w:rsidRPr="004A69C8">
              <w:t>3) порядок обжалования действий (бездействия) должностных лиц органа муниципального контроля;</w:t>
            </w:r>
          </w:p>
          <w:p w:rsidR="004A69C8" w:rsidRPr="004A69C8" w:rsidRDefault="004A69C8" w:rsidP="003F665E">
            <w:pPr>
              <w:jc w:val="both"/>
            </w:pPr>
            <w:r w:rsidRPr="004A69C8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4A69C8" w:rsidRPr="004A69C8" w:rsidRDefault="004A69C8" w:rsidP="003F665E">
            <w:pPr>
              <w:jc w:val="both"/>
            </w:pPr>
            <w:r w:rsidRPr="004A69C8">
              <w:t>Консультирование в письменной форме осуществляется должностным лицом в следующих случаях:</w:t>
            </w:r>
          </w:p>
          <w:p w:rsidR="004A69C8" w:rsidRPr="004A69C8" w:rsidRDefault="004A69C8" w:rsidP="003F665E">
            <w:pPr>
              <w:jc w:val="both"/>
            </w:pPr>
            <w:r w:rsidRPr="004A69C8"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A69C8" w:rsidRPr="004A69C8" w:rsidRDefault="004A69C8" w:rsidP="003F665E">
            <w:pPr>
              <w:jc w:val="both"/>
            </w:pPr>
            <w:r w:rsidRPr="004A69C8">
              <w:t>2) за время консультирования предоставить ответ на поставленные вопросы невозможно;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3) ответ на поставленные вопросы требует дополнительного запроса сведений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lastRenderedPageBreak/>
              <w:t>По запросу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В форме устных и письменных разъяснений</w:t>
            </w: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Специалист администрации, к должным обязанностям которого относится осуществление муниципального контроля</w:t>
            </w: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 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>. главы</w:t>
      </w:r>
      <w:r>
        <w:rPr>
          <w:sz w:val="28"/>
          <w:szCs w:val="28"/>
          <w:lang w:bidi="ru-RU"/>
        </w:rPr>
        <w:t xml:space="preserve"> </w:t>
      </w:r>
      <w:r w:rsidRPr="00153758">
        <w:rPr>
          <w:sz w:val="28"/>
          <w:szCs w:val="28"/>
          <w:lang w:bidi="ru-RU"/>
        </w:rPr>
        <w:t xml:space="preserve">Тайтурского городского поселения </w:t>
      </w: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</w:t>
      </w:r>
      <w:r>
        <w:rPr>
          <w:sz w:val="28"/>
          <w:szCs w:val="28"/>
          <w:lang w:bidi="ru-RU"/>
        </w:rPr>
        <w:t xml:space="preserve">                         И.И. Платонова</w:t>
      </w:r>
      <w:bookmarkStart w:id="0" w:name="_GoBack"/>
      <w:bookmarkEnd w:id="0"/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A69C8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86" w:rsidRDefault="00671286">
      <w:r>
        <w:separator/>
      </w:r>
    </w:p>
  </w:endnote>
  <w:endnote w:type="continuationSeparator" w:id="0">
    <w:p w:rsidR="00671286" w:rsidRDefault="006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86" w:rsidRDefault="00671286">
      <w:r>
        <w:separator/>
      </w:r>
    </w:p>
  </w:footnote>
  <w:footnote w:type="continuationSeparator" w:id="0">
    <w:p w:rsidR="00671286" w:rsidRDefault="006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C8">
          <w:rPr>
            <w:noProof/>
          </w:rPr>
          <w:t>8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41D38"/>
    <w:multiLevelType w:val="hybridMultilevel"/>
    <w:tmpl w:val="01DE225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666DA"/>
    <w:multiLevelType w:val="hybridMultilevel"/>
    <w:tmpl w:val="05FAB030"/>
    <w:lvl w:ilvl="0" w:tplc="158E4E44">
      <w:start w:val="1"/>
      <w:numFmt w:val="decimal"/>
      <w:lvlText w:val="%1."/>
      <w:lvlJc w:val="left"/>
      <w:pPr>
        <w:ind w:left="22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80048"/>
    <w:multiLevelType w:val="hybridMultilevel"/>
    <w:tmpl w:val="A2DC57E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2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3DD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740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A10"/>
    <w:rsid w:val="002C46A8"/>
    <w:rsid w:val="002C4F6B"/>
    <w:rsid w:val="002C625F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125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5691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69C8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31C3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2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286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1DA6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553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1372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5F60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2F1D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52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9B1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9A8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D73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3B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8B7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5964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A8995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03C4-9FE7-49FB-9BBC-CAF9F85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39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12360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2022-02-01T05:36:00Z</cp:lastPrinted>
  <dcterms:created xsi:type="dcterms:W3CDTF">2022-01-31T03:44:00Z</dcterms:created>
  <dcterms:modified xsi:type="dcterms:W3CDTF">2023-10-16T08:45:00Z</dcterms:modified>
</cp:coreProperties>
</file>